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i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i w:val="1"/>
        </w:rPr>
      </w:pPr>
      <w:r w:rsidDel="00000000" w:rsidR="00000000" w:rsidRPr="00000000">
        <w:rPr>
          <w:rtl w:val="0"/>
        </w:rPr>
      </w:r>
    </w:p>
    <w:p w:rsidR="00000000" w:rsidDel="00000000" w:rsidP="00000000" w:rsidRDefault="00000000" w:rsidRPr="00000000" w14:paraId="00000003">
      <w:pPr>
        <w:spacing w:after="100" w:line="240" w:lineRule="auto"/>
        <w:ind w:right="-267"/>
        <w:rPr>
          <w:b w:val="1"/>
          <w:i w:val="1"/>
          <w:sz w:val="26"/>
          <w:szCs w:val="26"/>
        </w:rPr>
      </w:pPr>
      <w:r w:rsidDel="00000000" w:rsidR="00000000" w:rsidRPr="00000000">
        <w:rPr>
          <w:b w:val="1"/>
          <w:i w:val="1"/>
          <w:sz w:val="26"/>
          <w:szCs w:val="26"/>
          <w:rtl w:val="0"/>
        </w:rPr>
        <w:t xml:space="preserve">Mediante diferentes acuerdos de prácticas de formación, </w:t>
      </w:r>
    </w:p>
    <w:p w:rsidR="00000000" w:rsidDel="00000000" w:rsidP="00000000" w:rsidRDefault="00000000" w:rsidRPr="00000000" w14:paraId="00000004">
      <w:pPr>
        <w:spacing w:after="100" w:line="240" w:lineRule="auto"/>
        <w:ind w:right="-267"/>
        <w:rPr>
          <w:b w:val="1"/>
          <w:i w:val="1"/>
          <w:sz w:val="26"/>
          <w:szCs w:val="26"/>
        </w:rPr>
      </w:pPr>
      <w:r w:rsidDel="00000000" w:rsidR="00000000" w:rsidRPr="00000000">
        <w:rPr>
          <w:rtl w:val="0"/>
        </w:rPr>
      </w:r>
    </w:p>
    <w:p w:rsidR="00000000" w:rsidDel="00000000" w:rsidP="00000000" w:rsidRDefault="00000000" w:rsidRPr="00000000" w14:paraId="00000005">
      <w:pPr>
        <w:spacing w:after="100" w:line="240" w:lineRule="auto"/>
        <w:ind w:right="-267"/>
        <w:jc w:val="center"/>
        <w:rPr>
          <w:b w:val="1"/>
          <w:sz w:val="40"/>
          <w:szCs w:val="40"/>
        </w:rPr>
      </w:pPr>
      <w:r w:rsidDel="00000000" w:rsidR="00000000" w:rsidRPr="00000000">
        <w:rPr>
          <w:b w:val="1"/>
          <w:sz w:val="40"/>
          <w:szCs w:val="40"/>
          <w:rtl w:val="0"/>
        </w:rPr>
        <w:t xml:space="preserve">123tinta.es colabora con institutos y universidades para fomentar el empleo juvenil </w:t>
      </w:r>
    </w:p>
    <w:p w:rsidR="00000000" w:rsidDel="00000000" w:rsidP="00000000" w:rsidRDefault="00000000" w:rsidRPr="00000000" w14:paraId="00000006">
      <w:pPr>
        <w:spacing w:after="100" w:line="240" w:lineRule="auto"/>
        <w:ind w:right="-267"/>
        <w:rPr>
          <w:b w:val="1"/>
          <w:sz w:val="40"/>
          <w:szCs w:val="40"/>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La compañía ha firmado convenios con 12 instituciones de la Comunidad de Madrid y Castilla La-Mancha</w:t>
      </w:r>
    </w:p>
    <w:p w:rsidR="00000000" w:rsidDel="00000000" w:rsidP="00000000" w:rsidRDefault="00000000" w:rsidRPr="00000000" w14:paraId="00000008">
      <w:pPr>
        <w:numPr>
          <w:ilvl w:val="0"/>
          <w:numId w:val="1"/>
        </w:numPr>
        <w:spacing w:line="240" w:lineRule="auto"/>
        <w:ind w:left="720" w:hanging="360"/>
        <w:jc w:val="both"/>
        <w:rPr>
          <w:b w:val="1"/>
          <w:i w:val="1"/>
          <w:color w:val="1f1f1f"/>
          <w:sz w:val="24"/>
          <w:szCs w:val="24"/>
        </w:rPr>
      </w:pPr>
      <w:r w:rsidDel="00000000" w:rsidR="00000000" w:rsidRPr="00000000">
        <w:rPr>
          <w:b w:val="1"/>
          <w:i w:val="1"/>
          <w:color w:val="1f1f1f"/>
          <w:sz w:val="24"/>
          <w:szCs w:val="24"/>
          <w:rtl w:val="0"/>
        </w:rPr>
        <w:t xml:space="preserve">14 trabajadores, más del 30% de la plantilla actual, realizaron sus prácticas en la empresa y hoy están contratados de forma indefinida </w:t>
      </w:r>
    </w:p>
    <w:p w:rsidR="00000000" w:rsidDel="00000000" w:rsidP="00000000" w:rsidRDefault="00000000" w:rsidRPr="00000000" w14:paraId="00000009">
      <w:pPr>
        <w:jc w:val="both"/>
        <w:rPr>
          <w:color w:val="1f1f1f"/>
          <w:sz w:val="24"/>
          <w:szCs w:val="24"/>
          <w:highlight w:val="yellow"/>
        </w:rPr>
      </w:pPr>
      <w:r w:rsidDel="00000000" w:rsidR="00000000" w:rsidRPr="00000000">
        <w:rPr>
          <w:b w:val="1"/>
          <w:color w:val="1f1f1f"/>
          <w:sz w:val="24"/>
          <w:szCs w:val="24"/>
          <w:rtl w:val="0"/>
        </w:rPr>
        <w:t xml:space="preserve">Madrid, 23 de mayo de 2023.- </w:t>
      </w:r>
      <w:r w:rsidDel="00000000" w:rsidR="00000000" w:rsidRPr="00000000">
        <w:rPr>
          <w:color w:val="1f1f1f"/>
          <w:sz w:val="24"/>
          <w:szCs w:val="24"/>
          <w:rtl w:val="0"/>
        </w:rPr>
        <w:t xml:space="preserve">Con el objetivo de acercar el mercado laboral a los estudiantes, </w:t>
      </w:r>
      <w:hyperlink r:id="rId7">
        <w:r w:rsidDel="00000000" w:rsidR="00000000" w:rsidRPr="00000000">
          <w:rPr>
            <w:color w:val="1155cc"/>
            <w:sz w:val="24"/>
            <w:szCs w:val="24"/>
            <w:u w:val="single"/>
            <w:rtl w:val="0"/>
          </w:rPr>
          <w:t xml:space="preserve">123tinta.es</w:t>
        </w:r>
      </w:hyperlink>
      <w:r w:rsidDel="00000000" w:rsidR="00000000" w:rsidRPr="00000000">
        <w:rPr>
          <w:color w:val="1f1f1f"/>
          <w:sz w:val="24"/>
          <w:szCs w:val="24"/>
          <w:rtl w:val="0"/>
        </w:rPr>
        <w:t xml:space="preserve">, el ecommerce de consumibles para impresoras, ofrece prácticas para alumnos de Formación Profesional y de Grado Universitario.</w:t>
      </w:r>
      <w:r w:rsidDel="00000000" w:rsidR="00000000" w:rsidRPr="00000000">
        <w:rPr>
          <w:rtl w:val="0"/>
        </w:rPr>
      </w:r>
    </w:p>
    <w:p w:rsidR="00000000" w:rsidDel="00000000" w:rsidP="00000000" w:rsidRDefault="00000000" w:rsidRPr="00000000" w14:paraId="0000000A">
      <w:pPr>
        <w:jc w:val="both"/>
        <w:rPr>
          <w:color w:val="1f1f1f"/>
          <w:sz w:val="24"/>
          <w:szCs w:val="24"/>
        </w:rPr>
      </w:pPr>
      <w:r w:rsidDel="00000000" w:rsidR="00000000" w:rsidRPr="00000000">
        <w:rPr>
          <w:color w:val="1f1f1f"/>
          <w:sz w:val="24"/>
          <w:szCs w:val="24"/>
          <w:rtl w:val="0"/>
        </w:rPr>
        <w:t xml:space="preserve">Hasta el momento, la compañía ha firmado convenios de prácticas con 12 institutos y universidades de la Comunidad de Madrid y Castilla La Mancha: Innovación en Formación Profesional, IES San Isidro, IES Alonso Avellaneda, Centro de Estudios Profesionales, IES Carmen Burgos de Seguí, Universidad de Alcalá de Henares, Universidad Rey Juan Carlos, Universidad Carlos III de Madrid, Centro Europeo de Postgrado, EAE Business School, IMF Smart education Business School, IMF Smart Education Business School y ESIC Desarrollo Profesional. </w:t>
      </w:r>
    </w:p>
    <w:p w:rsidR="00000000" w:rsidDel="00000000" w:rsidP="00000000" w:rsidRDefault="00000000" w:rsidRPr="00000000" w14:paraId="0000000B">
      <w:pPr>
        <w:jc w:val="both"/>
        <w:rPr>
          <w:b w:val="1"/>
          <w:color w:val="1f1f1f"/>
          <w:sz w:val="24"/>
          <w:szCs w:val="24"/>
        </w:rPr>
      </w:pPr>
      <w:r w:rsidDel="00000000" w:rsidR="00000000" w:rsidRPr="00000000">
        <w:rPr>
          <w:b w:val="1"/>
          <w:color w:val="1f1f1f"/>
          <w:sz w:val="24"/>
          <w:szCs w:val="24"/>
          <w:rtl w:val="0"/>
        </w:rPr>
        <w:t xml:space="preserve">Beneficios para el estudiante</w:t>
      </w:r>
    </w:p>
    <w:p w:rsidR="00000000" w:rsidDel="00000000" w:rsidP="00000000" w:rsidRDefault="00000000" w:rsidRPr="00000000" w14:paraId="0000000C">
      <w:pPr>
        <w:jc w:val="both"/>
        <w:rPr>
          <w:color w:val="1f1f1f"/>
          <w:sz w:val="24"/>
          <w:szCs w:val="24"/>
        </w:rPr>
      </w:pPr>
      <w:r w:rsidDel="00000000" w:rsidR="00000000" w:rsidRPr="00000000">
        <w:rPr>
          <w:color w:val="1f1f1f"/>
          <w:sz w:val="24"/>
          <w:szCs w:val="24"/>
          <w:rtl w:val="0"/>
        </w:rPr>
        <w:t xml:space="preserve">Estas prácticas suponen la primera toma de contacto del alumno con el mundo laboral y le ayudan a adquirir competencias clave para convertirse en profesionales cualificados y con experiencia. Además, las prácticas ayudan a establecer contactos con otros profesionales, permiten ampliar y mejorar el currículum, demuestran interés por incorporarse en el mundo laboral y entrenan la búsqueda de empleo real aumentando las posibilidades de conseguirlo.</w:t>
      </w:r>
    </w:p>
    <w:p w:rsidR="00000000" w:rsidDel="00000000" w:rsidP="00000000" w:rsidRDefault="00000000" w:rsidRPr="00000000" w14:paraId="0000000D">
      <w:pPr>
        <w:jc w:val="both"/>
        <w:rPr>
          <w:b w:val="1"/>
          <w:color w:val="1f1f1f"/>
          <w:sz w:val="24"/>
          <w:szCs w:val="24"/>
        </w:rPr>
      </w:pPr>
      <w:r w:rsidDel="00000000" w:rsidR="00000000" w:rsidRPr="00000000">
        <w:rPr>
          <w:b w:val="1"/>
          <w:color w:val="1f1f1f"/>
          <w:sz w:val="24"/>
          <w:szCs w:val="24"/>
          <w:rtl w:val="0"/>
        </w:rPr>
        <w:t xml:space="preserve">Una compañía joven</w:t>
      </w:r>
    </w:p>
    <w:p w:rsidR="00000000" w:rsidDel="00000000" w:rsidP="00000000" w:rsidRDefault="00000000" w:rsidRPr="00000000" w14:paraId="0000000E">
      <w:pPr>
        <w:jc w:val="both"/>
        <w:rPr>
          <w:color w:val="1f1f1f"/>
          <w:sz w:val="24"/>
          <w:szCs w:val="24"/>
        </w:rPr>
      </w:pPr>
      <w:r w:rsidDel="00000000" w:rsidR="00000000" w:rsidRPr="00000000">
        <w:rPr>
          <w:color w:val="1f1f1f"/>
          <w:sz w:val="24"/>
          <w:szCs w:val="24"/>
          <w:rtl w:val="0"/>
        </w:rPr>
        <w:t xml:space="preserve">Actualmente, el equipo de 123tinta.es está formado por 48 personas, de las cuales 3 son alumnos de prácticas. Los alumnos, al finalizar este período de formación, tienen la posibilidad de desarrollar una carrera profesional dentro de la empresa. Así, de la plantilla actual, 14 trabajadores realizaron sus prácticas en la compañía y hoy están contratados de manera indefinida, lo que supone más del 30% del equipo. Además, el 20% de los trabajadores son menores de 25 años lo que muestra el compromiso de la compañía para impulsar el trabajo juvenil. </w:t>
      </w:r>
    </w:p>
    <w:p w:rsidR="00000000" w:rsidDel="00000000" w:rsidP="00000000" w:rsidRDefault="00000000" w:rsidRPr="00000000" w14:paraId="0000000F">
      <w:pPr>
        <w:jc w:val="both"/>
        <w:rPr>
          <w:color w:val="1f1f1f"/>
          <w:sz w:val="24"/>
          <w:szCs w:val="24"/>
        </w:rPr>
      </w:pPr>
      <w:r w:rsidDel="00000000" w:rsidR="00000000" w:rsidRPr="00000000">
        <w:rPr>
          <w:rtl w:val="0"/>
        </w:rPr>
      </w:r>
    </w:p>
    <w:p w:rsidR="00000000" w:rsidDel="00000000" w:rsidP="00000000" w:rsidRDefault="00000000" w:rsidRPr="00000000" w14:paraId="00000010">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Ofrece los cartuchos de tinta y tóner con la garantía de precio más bajo, tanto para usuario particular como para empresas. Asimismo, cuenta con un amplio catálogo de artículos de papelería y material escolar. Dispone de un servicio de atención al cliente y un servicio de entrega rápida en 24 horas.</w:t>
      </w:r>
    </w:p>
    <w:p w:rsidR="00000000" w:rsidDel="00000000" w:rsidP="00000000" w:rsidRDefault="00000000" w:rsidRPr="00000000" w14:paraId="00000012">
      <w:pPr>
        <w:jc w:val="both"/>
        <w:rPr>
          <w:color w:val="1f1f1f"/>
        </w:rPr>
      </w:pPr>
      <w:r w:rsidDel="00000000" w:rsidR="00000000" w:rsidRPr="00000000">
        <w:rPr>
          <w:rtl w:val="0"/>
        </w:rPr>
      </w:r>
    </w:p>
    <w:p w:rsidR="00000000" w:rsidDel="00000000" w:rsidP="00000000" w:rsidRDefault="00000000" w:rsidRPr="00000000" w14:paraId="00000013">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4">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5">
      <w:pPr>
        <w:spacing w:after="0" w:line="240" w:lineRule="auto"/>
        <w:jc w:val="both"/>
        <w:rPr>
          <w:sz w:val="18"/>
          <w:szCs w:val="18"/>
        </w:rPr>
      </w:pPr>
      <w:r w:rsidDel="00000000" w:rsidR="00000000" w:rsidRPr="00000000">
        <w:rPr>
          <w:sz w:val="20"/>
          <w:szCs w:val="20"/>
          <w:rtl w:val="0"/>
        </w:rPr>
        <w:t xml:space="preserve">Irati Miguel – </w:t>
      </w:r>
      <w:hyperlink r:id="rId8">
        <w:r w:rsidDel="00000000" w:rsidR="00000000" w:rsidRPr="00000000">
          <w:rPr>
            <w:color w:val="1155cc"/>
            <w:sz w:val="20"/>
            <w:szCs w:val="20"/>
            <w:u w:val="single"/>
            <w:rtl w:val="0"/>
          </w:rPr>
          <w:t xml:space="preserve">prensa@actitud.es</w:t>
        </w:r>
      </w:hyperlink>
      <w:r w:rsidDel="00000000" w:rsidR="00000000" w:rsidRPr="00000000">
        <w:rPr>
          <w:sz w:val="20"/>
          <w:szCs w:val="20"/>
          <w:rtl w:val="0"/>
        </w:rPr>
        <w:t xml:space="preserve"> </w:t>
      </w:r>
      <w:r w:rsidDel="00000000" w:rsidR="00000000" w:rsidRPr="00000000">
        <w:rPr>
          <w:sz w:val="20"/>
          <w:szCs w:val="20"/>
          <w:rtl w:val="0"/>
        </w:rPr>
        <w:t xml:space="preserve">– T. 91 302 28 30</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9" w:type="default"/>
      <w:footerReference r:id="rId10"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-92068</wp:posOffset>
          </wp:positionV>
          <wp:extent cx="1377315" cy="594995"/>
          <wp:effectExtent b="0" l="0" r="0" t="0"/>
          <wp:wrapSquare wrapText="bothSides" distB="0" distT="0" distL="114300" distR="114300"/>
          <wp:docPr descr="Z:\Actitud de Comunicacion\CLIENTES\CLIENTES\123 TINTA\123tinta.es-RGB.png" id="29"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 TargetMode="External"/><Relationship Id="rId8" Type="http://schemas.openxmlformats.org/officeDocument/2006/relationships/hyperlink" Target="mailto:prensa@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LLRhhgYzlPgq69Fv1LYHxmCTg==">CgMxLjA4AHIhMXpScFdzNjlkZ3UySmphVUtqY0lWSkdvamswUU5VWnZE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2023-05-18T08:10:00Z</dcterms:created>
  <dc:creator>actitud</dc:creator>
</cp:coreProperties>
</file>